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ECF00">
      <w:pPr>
        <w:jc w:val="center"/>
        <w:rPr>
          <w:rFonts w:ascii="Times New Roman" w:hAnsi="Times New Roman" w:cs="Times New Roman"/>
          <w:b/>
          <w:bCs/>
          <w:sz w:val="24"/>
          <w:szCs w:val="24"/>
          <w:lang w:val="zh-CN"/>
        </w:rPr>
      </w:pPr>
      <w:r>
        <w:rPr>
          <w:rFonts w:ascii="Times New Roman" w:hAnsi="Times New Roman" w:cs="Times New Roman"/>
          <w:b/>
          <w:bCs/>
          <w:sz w:val="24"/>
          <w:szCs w:val="24"/>
          <w:lang w:val="zh-CN"/>
        </w:rPr>
        <w:drawing>
          <wp:anchor distT="0" distB="0" distL="114300" distR="114300" simplePos="0" relativeHeight="251659264" behindDoc="1" locked="0" layoutInCell="1" allowOverlap="1">
            <wp:simplePos x="0" y="0"/>
            <wp:positionH relativeFrom="column">
              <wp:posOffset>2409825</wp:posOffset>
            </wp:positionH>
            <wp:positionV relativeFrom="paragraph">
              <wp:posOffset>0</wp:posOffset>
            </wp:positionV>
            <wp:extent cx="981075" cy="829310"/>
            <wp:effectExtent l="0" t="0" r="0" b="8890"/>
            <wp:wrapTight wrapText="bothSides">
              <wp:wrapPolygon>
                <wp:start x="0" y="0"/>
                <wp:lineTo x="0" y="21335"/>
                <wp:lineTo x="20971" y="21335"/>
                <wp:lineTo x="20971" y="0"/>
                <wp:lineTo x="0" y="0"/>
              </wp:wrapPolygon>
            </wp:wrapTight>
            <wp:docPr id="1703192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9295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982144" cy="830524"/>
                    </a:xfrm>
                    <a:prstGeom prst="rect">
                      <a:avLst/>
                    </a:prstGeom>
                    <a:noFill/>
                    <a:ln>
                      <a:noFill/>
                    </a:ln>
                  </pic:spPr>
                </pic:pic>
              </a:graphicData>
            </a:graphic>
          </wp:anchor>
        </w:drawing>
      </w:r>
    </w:p>
    <w:p w14:paraId="3DAB0BA2">
      <w:pPr>
        <w:jc w:val="center"/>
        <w:rPr>
          <w:rFonts w:ascii="Times New Roman" w:hAnsi="Times New Roman" w:cs="Times New Roman"/>
          <w:b/>
          <w:bCs/>
          <w:sz w:val="24"/>
          <w:szCs w:val="24"/>
          <w:lang w:val="en-US"/>
        </w:rPr>
      </w:pPr>
    </w:p>
    <w:p w14:paraId="40810028">
      <w:pPr>
        <w:jc w:val="center"/>
        <w:rPr>
          <w:rFonts w:ascii="Times New Roman" w:hAnsi="Times New Roman" w:cs="Times New Roman"/>
          <w:b/>
          <w:bCs/>
          <w:sz w:val="24"/>
          <w:szCs w:val="24"/>
          <w:lang w:val="en-US"/>
        </w:rPr>
      </w:pPr>
    </w:p>
    <w:p w14:paraId="18EC9B72">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COMMUNIQUÉ</w:t>
      </w:r>
    </w:p>
    <w:p w14:paraId="40B7E958">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Temporary Closure of Section 2 of Le Morne Brabant Mountain</w:t>
      </w:r>
    </w:p>
    <w:p w14:paraId="6A7FA0DE">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Le Morne Heritage Trust Fund wishes to inform the public that </w:t>
      </w:r>
      <w:r>
        <w:rPr>
          <w:rFonts w:ascii="Times New Roman" w:hAnsi="Times New Roman" w:cs="Times New Roman"/>
          <w:b/>
          <w:bCs/>
          <w:sz w:val="24"/>
          <w:szCs w:val="24"/>
          <w:lang w:val="en-US"/>
        </w:rPr>
        <w:t>Section 2 of the Le Morne Brabant Mountain Trail is temporarily closed until further notice</w:t>
      </w:r>
      <w:r>
        <w:rPr>
          <w:rFonts w:ascii="Times New Roman" w:hAnsi="Times New Roman" w:cs="Times New Roman"/>
          <w:sz w:val="24"/>
          <w:szCs w:val="24"/>
          <w:lang w:val="en-US"/>
        </w:rPr>
        <w:t xml:space="preserve"> for security reasons.</w:t>
      </w:r>
    </w:p>
    <w:p w14:paraId="3D4B64ED">
      <w:pPr>
        <w:jc w:val="both"/>
        <w:rPr>
          <w:rFonts w:ascii="Times New Roman" w:hAnsi="Times New Roman" w:cs="Times New Roman"/>
          <w:sz w:val="24"/>
          <w:szCs w:val="24"/>
          <w:lang w:val="en-US"/>
        </w:rPr>
      </w:pPr>
      <w:r>
        <w:rPr>
          <w:rFonts w:ascii="Times New Roman" w:hAnsi="Times New Roman" w:cs="Times New Roman"/>
          <w:b/>
          <w:bCs/>
          <w:sz w:val="24"/>
          <w:szCs w:val="24"/>
          <w:lang w:val="en-US"/>
        </w:rPr>
        <w:t>No person is permitted to access Section 2 of the mountain under any circumstances, whether accompanied by a hiking guide or otherwise.</w:t>
      </w:r>
      <w:r>
        <w:rPr>
          <w:rFonts w:ascii="Times New Roman" w:hAnsi="Times New Roman" w:cs="Times New Roman"/>
          <w:sz w:val="24"/>
          <w:szCs w:val="24"/>
          <w:lang w:val="en-US"/>
        </w:rPr>
        <w:t xml:space="preserve"> This restriction has been implemented to safeguard the safety and well-being of all visitors and must be strictly observed.</w:t>
      </w:r>
    </w:p>
    <w:p w14:paraId="106BB0BE">
      <w:pPr>
        <w:jc w:val="both"/>
        <w:rPr>
          <w:rFonts w:ascii="Times New Roman" w:hAnsi="Times New Roman" w:cs="Times New Roman"/>
          <w:sz w:val="24"/>
          <w:szCs w:val="24"/>
          <w:lang w:val="en-US"/>
        </w:rPr>
      </w:pPr>
      <w:r>
        <w:rPr>
          <w:rFonts w:ascii="Times New Roman" w:hAnsi="Times New Roman" w:cs="Times New Roman"/>
          <w:sz w:val="24"/>
          <w:szCs w:val="24"/>
          <w:lang w:val="en-US"/>
        </w:rPr>
        <w:t>Visitors are requested to comply with the closure and to follow all instructions issued by the Le Morne Heritage Trust Fund and the relevant authorities. Any unauthorised access beyond the closure point is strictly prohibited until the area shall be declared safe and is officially reopened.</w:t>
      </w:r>
    </w:p>
    <w:p w14:paraId="0E6817EF">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Le Morne Heritage Trust Fund also wishes to remind the public that </w:t>
      </w:r>
      <w:r>
        <w:rPr>
          <w:rFonts w:ascii="Times New Roman" w:hAnsi="Times New Roman" w:cs="Times New Roman"/>
          <w:b/>
          <w:bCs/>
          <w:sz w:val="24"/>
          <w:szCs w:val="24"/>
          <w:lang w:val="en-US"/>
        </w:rPr>
        <w:t>access to Le Morne Brabant Mountain is free of charge. No individual or organisation is authorised to charge an entrance or access fee to the mountain.</w:t>
      </w:r>
    </w:p>
    <w:p w14:paraId="4A6AD40F">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Visitors who wish to benefit from the expert services of a qualified hiking guide are free to engage the services of a guide at their own discretion. However, any fees charged by a hiking guide relate solely to the guiding service provided and </w:t>
      </w:r>
      <w:r>
        <w:rPr>
          <w:rFonts w:ascii="Times New Roman" w:hAnsi="Times New Roman" w:cs="Times New Roman"/>
          <w:b/>
          <w:bCs/>
          <w:sz w:val="24"/>
          <w:szCs w:val="24"/>
          <w:lang w:val="en-US"/>
        </w:rPr>
        <w:t>do not constitute a fee for access to Le Morne Brabant Mountain</w:t>
      </w:r>
      <w:r>
        <w:rPr>
          <w:rFonts w:ascii="Times New Roman" w:hAnsi="Times New Roman" w:cs="Times New Roman"/>
          <w:sz w:val="24"/>
          <w:szCs w:val="24"/>
          <w:lang w:val="en-US"/>
        </w:rPr>
        <w:t>.</w:t>
      </w:r>
    </w:p>
    <w:p w14:paraId="5D4D01A0">
      <w:pPr>
        <w:rPr>
          <w:rFonts w:ascii="Times New Roman" w:hAnsi="Times New Roman" w:cs="Times New Roman"/>
          <w:sz w:val="24"/>
          <w:szCs w:val="24"/>
          <w:lang w:val="en-US"/>
        </w:rPr>
      </w:pPr>
    </w:p>
    <w:p w14:paraId="47514615">
      <w:pPr>
        <w:rPr>
          <w:rFonts w:hint="default" w:ascii="Times New Roman" w:hAnsi="Times New Roman" w:cs="Times New Roman"/>
          <w:sz w:val="24"/>
          <w:szCs w:val="24"/>
          <w:lang w:val="en-US"/>
        </w:rPr>
      </w:pPr>
      <w:r>
        <w:rPr>
          <w:rFonts w:ascii="Times New Roman" w:hAnsi="Times New Roman" w:cs="Times New Roman"/>
          <w:b/>
          <w:bCs/>
          <w:sz w:val="24"/>
          <w:szCs w:val="24"/>
          <w:lang w:val="en-US"/>
        </w:rPr>
        <w:t>Date:</w:t>
      </w:r>
      <w:r>
        <w:rPr>
          <w:rFonts w:ascii="Times New Roman" w:hAnsi="Times New Roman" w:cs="Times New Roman"/>
          <w:sz w:val="24"/>
          <w:szCs w:val="24"/>
          <w:lang w:val="en-US"/>
        </w:rPr>
        <w:t xml:space="preserve"> </w:t>
      </w:r>
      <w:r>
        <w:rPr>
          <w:rFonts w:hint="default" w:ascii="Times New Roman" w:hAnsi="Times New Roman" w:cs="Times New Roman"/>
          <w:sz w:val="24"/>
          <w:szCs w:val="24"/>
          <w:lang w:val="en-US"/>
        </w:rPr>
        <w:t>6 October 2026</w:t>
      </w:r>
    </w:p>
    <w:p w14:paraId="37B0C046">
      <w:pPr>
        <w:rPr>
          <w:lang w:val="en-US"/>
        </w:rPr>
      </w:pPr>
      <w:r>
        <w:rPr>
          <w:lang w:val="en-US"/>
        </w:rPr>
        <w:br w:type="page"/>
      </w:r>
    </w:p>
    <w:p w14:paraId="279E2478">
      <w:pPr>
        <w:jc w:val="both"/>
        <w:rPr>
          <w:rFonts w:ascii="Times New Roman" w:hAnsi="Times New Roman" w:cs="Times New Roman"/>
          <w:b/>
          <w:bCs/>
          <w:sz w:val="24"/>
          <w:szCs w:val="24"/>
          <w:lang w:val="en-US"/>
        </w:rPr>
      </w:pPr>
      <w:r>
        <w:rPr>
          <w:rFonts w:ascii="Times New Roman" w:hAnsi="Times New Roman" w:cs="Times New Roman"/>
          <w:b/>
          <w:bCs/>
          <w:sz w:val="24"/>
          <w:szCs w:val="24"/>
          <w:lang w:val="zh-CN"/>
        </w:rPr>
        <w:drawing>
          <wp:anchor distT="0" distB="0" distL="114300" distR="114300" simplePos="0" relativeHeight="251660288" behindDoc="1" locked="0" layoutInCell="1" allowOverlap="1">
            <wp:simplePos x="0" y="0"/>
            <wp:positionH relativeFrom="column">
              <wp:posOffset>2327910</wp:posOffset>
            </wp:positionH>
            <wp:positionV relativeFrom="paragraph">
              <wp:posOffset>0</wp:posOffset>
            </wp:positionV>
            <wp:extent cx="921385" cy="779145"/>
            <wp:effectExtent l="0" t="0" r="0" b="1905"/>
            <wp:wrapTight wrapText="bothSides">
              <wp:wrapPolygon>
                <wp:start x="0" y="0"/>
                <wp:lineTo x="0" y="21125"/>
                <wp:lineTo x="20990" y="21125"/>
                <wp:lineTo x="20990" y="0"/>
                <wp:lineTo x="0" y="0"/>
              </wp:wrapPolygon>
            </wp:wrapTight>
            <wp:docPr id="1925654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54904"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921385" cy="779145"/>
                    </a:xfrm>
                    <a:prstGeom prst="rect">
                      <a:avLst/>
                    </a:prstGeom>
                    <a:noFill/>
                    <a:ln>
                      <a:noFill/>
                    </a:ln>
                  </pic:spPr>
                </pic:pic>
              </a:graphicData>
            </a:graphic>
          </wp:anchor>
        </w:drawing>
      </w:r>
    </w:p>
    <w:p w14:paraId="6F94B7FB">
      <w:pPr>
        <w:jc w:val="both"/>
        <w:rPr>
          <w:rFonts w:ascii="Times New Roman" w:hAnsi="Times New Roman" w:cs="Times New Roman"/>
          <w:b/>
          <w:bCs/>
          <w:sz w:val="24"/>
          <w:szCs w:val="24"/>
          <w:lang w:val="en-US"/>
        </w:rPr>
      </w:pPr>
    </w:p>
    <w:p w14:paraId="6FF05C9B">
      <w:pPr>
        <w:jc w:val="both"/>
        <w:rPr>
          <w:rFonts w:ascii="Times New Roman" w:hAnsi="Times New Roman" w:cs="Times New Roman"/>
          <w:b/>
          <w:bCs/>
          <w:sz w:val="24"/>
          <w:szCs w:val="24"/>
          <w:lang w:val="en-US"/>
        </w:rPr>
      </w:pPr>
    </w:p>
    <w:p w14:paraId="6E2414F7">
      <w:pPr>
        <w:jc w:val="center"/>
        <w:rPr>
          <w:rFonts w:ascii="Times New Roman" w:hAnsi="Times New Roman" w:cs="Times New Roman"/>
          <w:b/>
          <w:bCs/>
          <w:sz w:val="24"/>
          <w:szCs w:val="24"/>
        </w:rPr>
      </w:pPr>
      <w:r>
        <w:rPr>
          <w:rFonts w:ascii="Times New Roman" w:hAnsi="Times New Roman" w:cs="Times New Roman"/>
          <w:b/>
          <w:bCs/>
          <w:sz w:val="24"/>
          <w:szCs w:val="24"/>
        </w:rPr>
        <w:t>COMMUNIQUÉ</w:t>
      </w:r>
    </w:p>
    <w:p w14:paraId="7945411C">
      <w:pPr>
        <w:jc w:val="both"/>
        <w:rPr>
          <w:rFonts w:ascii="Times New Roman" w:hAnsi="Times New Roman" w:cs="Times New Roman"/>
          <w:b/>
          <w:bCs/>
          <w:sz w:val="24"/>
          <w:szCs w:val="24"/>
        </w:rPr>
      </w:pPr>
      <w:r>
        <w:rPr>
          <w:rFonts w:ascii="Times New Roman" w:hAnsi="Times New Roman" w:cs="Times New Roman"/>
          <w:b/>
          <w:bCs/>
          <w:sz w:val="24"/>
          <w:szCs w:val="24"/>
        </w:rPr>
        <w:t>Fermeture temporaire de la Section 2 du sentier de randonnée de la montagne du Morne Brabant</w:t>
      </w:r>
    </w:p>
    <w:p w14:paraId="70DFD943">
      <w:pPr>
        <w:jc w:val="both"/>
        <w:rPr>
          <w:rFonts w:ascii="Times New Roman" w:hAnsi="Times New Roman" w:cs="Times New Roman"/>
          <w:sz w:val="24"/>
          <w:szCs w:val="24"/>
        </w:rPr>
      </w:pPr>
      <w:r>
        <w:rPr>
          <w:rFonts w:ascii="Times New Roman" w:hAnsi="Times New Roman" w:cs="Times New Roman"/>
          <w:sz w:val="24"/>
          <w:szCs w:val="24"/>
        </w:rPr>
        <w:t>Le</w:t>
      </w:r>
      <w:r>
        <w:rPr>
          <w:rFonts w:ascii="Times New Roman" w:hAnsi="Times New Roman" w:cs="Times New Roman"/>
          <w:b/>
          <w:bCs/>
          <w:sz w:val="24"/>
          <w:szCs w:val="24"/>
        </w:rPr>
        <w:t xml:space="preserve"> Morne Heritage Trust Fund</w:t>
      </w:r>
      <w:r>
        <w:rPr>
          <w:rFonts w:ascii="Times New Roman" w:hAnsi="Times New Roman" w:cs="Times New Roman"/>
          <w:sz w:val="24"/>
          <w:szCs w:val="24"/>
        </w:rPr>
        <w:t xml:space="preserve"> informe le public que la </w:t>
      </w:r>
      <w:r>
        <w:rPr>
          <w:rFonts w:ascii="Times New Roman" w:hAnsi="Times New Roman" w:cs="Times New Roman"/>
          <w:b/>
          <w:bCs/>
          <w:sz w:val="24"/>
          <w:szCs w:val="24"/>
        </w:rPr>
        <w:t>Section 2 du sentier de randonnée de la montagne Le Morne Brabant</w:t>
      </w:r>
      <w:r>
        <w:rPr>
          <w:rFonts w:ascii="Times New Roman" w:hAnsi="Times New Roman" w:cs="Times New Roman"/>
          <w:sz w:val="24"/>
          <w:szCs w:val="24"/>
        </w:rPr>
        <w:t xml:space="preserve"> est temporairement fermé jusqu’à nouvel ordre pour des raisons de sécurité.</w:t>
      </w:r>
    </w:p>
    <w:p w14:paraId="569ED68D">
      <w:pPr>
        <w:jc w:val="both"/>
        <w:rPr>
          <w:rFonts w:ascii="Times New Roman" w:hAnsi="Times New Roman" w:cs="Times New Roman"/>
          <w:sz w:val="24"/>
          <w:szCs w:val="24"/>
        </w:rPr>
      </w:pPr>
      <w:r>
        <w:rPr>
          <w:rFonts w:ascii="Times New Roman" w:hAnsi="Times New Roman" w:cs="Times New Roman"/>
          <w:sz w:val="24"/>
          <w:szCs w:val="24"/>
        </w:rPr>
        <w:t>Aucune personne n'est autorisée à accéder à la Section 2 de la montagne, quelles que soient les circonstances, qu’elle soit accompagnée d’un guide de randonnée ou non. Cette mesure a été mise en place afin de garantir la sécurité et le bien-être de tous les visiteurs et doit être strictement respectée.</w:t>
      </w:r>
    </w:p>
    <w:p w14:paraId="2699B8C4">
      <w:pPr>
        <w:jc w:val="both"/>
        <w:rPr>
          <w:rFonts w:ascii="Times New Roman" w:hAnsi="Times New Roman" w:cs="Times New Roman"/>
          <w:sz w:val="24"/>
          <w:szCs w:val="24"/>
        </w:rPr>
      </w:pPr>
      <w:r>
        <w:rPr>
          <w:rFonts w:ascii="Times New Roman" w:hAnsi="Times New Roman" w:cs="Times New Roman"/>
          <w:sz w:val="24"/>
          <w:szCs w:val="24"/>
        </w:rPr>
        <w:t xml:space="preserve">Les visiteurs sont priés de respecter cette fermeture et de se conformer à toutes les consignes émises par </w:t>
      </w:r>
      <w:r>
        <w:rPr>
          <w:rFonts w:ascii="Times New Roman" w:hAnsi="Times New Roman" w:cs="Times New Roman"/>
          <w:b/>
          <w:bCs/>
          <w:sz w:val="24"/>
          <w:szCs w:val="24"/>
        </w:rPr>
        <w:t>Le Morne Heritage Trust Fund</w:t>
      </w:r>
      <w:r>
        <w:rPr>
          <w:rFonts w:ascii="Times New Roman" w:hAnsi="Times New Roman" w:cs="Times New Roman"/>
          <w:sz w:val="24"/>
          <w:szCs w:val="24"/>
        </w:rPr>
        <w:t xml:space="preserve"> et les autorités compétentes. Tout accès non autorisé au-delà du point de fermeture est strictement interdit jusqu’à ce que la zone soit déclarée sûre et officiellement rouverte.</w:t>
      </w:r>
    </w:p>
    <w:p w14:paraId="7251ED00">
      <w:pPr>
        <w:jc w:val="both"/>
        <w:rPr>
          <w:rFonts w:ascii="Times New Roman" w:hAnsi="Times New Roman" w:cs="Times New Roman"/>
          <w:sz w:val="24"/>
          <w:szCs w:val="24"/>
        </w:rPr>
      </w:pPr>
      <w:r>
        <w:rPr>
          <w:rFonts w:ascii="Times New Roman" w:hAnsi="Times New Roman" w:cs="Times New Roman"/>
          <w:b/>
          <w:bCs/>
          <w:sz w:val="24"/>
          <w:szCs w:val="24"/>
        </w:rPr>
        <w:t>Le Morne Heritage Trust Fund</w:t>
      </w:r>
      <w:r>
        <w:rPr>
          <w:rFonts w:ascii="Times New Roman" w:hAnsi="Times New Roman" w:cs="Times New Roman"/>
          <w:sz w:val="24"/>
          <w:szCs w:val="24"/>
        </w:rPr>
        <w:t xml:space="preserve"> souhaite également rappeler au public que </w:t>
      </w:r>
      <w:r>
        <w:rPr>
          <w:rFonts w:ascii="Times New Roman" w:hAnsi="Times New Roman" w:cs="Times New Roman"/>
          <w:b/>
          <w:bCs/>
          <w:sz w:val="24"/>
          <w:szCs w:val="24"/>
        </w:rPr>
        <w:t>l'accès au Morne Brabant est entièrement gratuit</w:t>
      </w:r>
      <w:r>
        <w:rPr>
          <w:rFonts w:ascii="Times New Roman" w:hAnsi="Times New Roman" w:cs="Times New Roman"/>
          <w:sz w:val="24"/>
          <w:szCs w:val="24"/>
        </w:rPr>
        <w:t>. Aucune personne ou entreprise n’est autorisée à exiger ou à percevoir un droit d'entrée ou un quelconque frais d’accès à la montagne.</w:t>
      </w:r>
    </w:p>
    <w:p w14:paraId="114F479F">
      <w:pPr>
        <w:jc w:val="both"/>
        <w:rPr>
          <w:rFonts w:ascii="Times New Roman" w:hAnsi="Times New Roman" w:cs="Times New Roman"/>
          <w:sz w:val="24"/>
          <w:szCs w:val="24"/>
        </w:rPr>
      </w:pPr>
      <w:r>
        <w:rPr>
          <w:rFonts w:ascii="Times New Roman" w:hAnsi="Times New Roman" w:cs="Times New Roman"/>
          <w:sz w:val="24"/>
          <w:szCs w:val="24"/>
        </w:rPr>
        <w:t>Les visiteurs qui souhaitent bénéficier des services d’un guide de randonnée qualifié demeurent libres de retenir les services d'un guide de leur choix. Toutefois, les honoraires éventuellement facturés par un guide de randonnée concernent exclusivement la prestation de guidage et ne constituent en aucun cas des frais d'accès au Le Morne Brabant.</w:t>
      </w:r>
    </w:p>
    <w:p w14:paraId="07CD0E6D">
      <w:pPr>
        <w:jc w:val="both"/>
        <w:rPr>
          <w:rFonts w:ascii="Times New Roman" w:hAnsi="Times New Roman" w:cs="Times New Roman"/>
          <w:b/>
          <w:bCs/>
          <w:sz w:val="24"/>
          <w:szCs w:val="24"/>
        </w:rPr>
      </w:pPr>
    </w:p>
    <w:p w14:paraId="537C6A64">
      <w:pPr>
        <w:jc w:val="both"/>
        <w:rPr>
          <w:rFonts w:hint="default" w:ascii="Times New Roman" w:hAnsi="Times New Roman" w:cs="Times New Roman"/>
          <w:sz w:val="24"/>
          <w:szCs w:val="24"/>
          <w:lang w:val="en-US"/>
        </w:rPr>
      </w:pPr>
      <w:r>
        <w:rPr>
          <w:rFonts w:ascii="Times New Roman" w:hAnsi="Times New Roman" w:cs="Times New Roman"/>
          <w:b/>
          <w:bCs/>
          <w:sz w:val="24"/>
          <w:szCs w:val="24"/>
          <w:lang w:val="en-US"/>
        </w:rPr>
        <w:t>Date:</w:t>
      </w:r>
      <w:r>
        <w:rPr>
          <w:rFonts w:ascii="Times New Roman" w:hAnsi="Times New Roman" w:cs="Times New Roman"/>
          <w:sz w:val="24"/>
          <w:szCs w:val="24"/>
          <w:lang w:val="en-US"/>
        </w:rPr>
        <w:t xml:space="preserve"> </w:t>
      </w:r>
      <w:r>
        <w:rPr>
          <w:rFonts w:hint="default" w:ascii="Times New Roman" w:hAnsi="Times New Roman" w:cs="Times New Roman"/>
          <w:sz w:val="24"/>
          <w:szCs w:val="24"/>
          <w:lang w:val="en-US"/>
        </w:rPr>
        <w:t>6 octobre 2026</w:t>
      </w:r>
      <w:bookmarkStart w:id="0" w:name="_GoBack"/>
      <w:bookmarkEnd w:id="0"/>
    </w:p>
    <w:p w14:paraId="0CE3672D">
      <w:pPr>
        <w:rPr>
          <w:lang w:val="zh-CN"/>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FFC"/>
    <w:rsid w:val="000434BF"/>
    <w:rsid w:val="00121AD6"/>
    <w:rsid w:val="001E6FFC"/>
    <w:rsid w:val="00342E23"/>
    <w:rsid w:val="003A09BA"/>
    <w:rsid w:val="00403E82"/>
    <w:rsid w:val="008251B2"/>
    <w:rsid w:val="00A3785B"/>
    <w:rsid w:val="00AC31F1"/>
    <w:rsid w:val="00C809B4"/>
    <w:rsid w:val="00C96542"/>
    <w:rsid w:val="00CD02A4"/>
    <w:rsid w:val="00CD6C67"/>
    <w:rsid w:val="00E504FD"/>
    <w:rsid w:val="00F74226"/>
    <w:rsid w:val="2F930D2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fr-FR"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qFormat/>
    <w:uiPriority w:val="9"/>
    <w:rPr>
      <w:rFonts w:asciiTheme="majorHAnsi" w:hAnsiTheme="majorHAnsi" w:eastAsiaTheme="majorEastAsia" w:cstheme="majorBidi"/>
      <w:color w:val="2F5597" w:themeColor="accent1" w:themeShade="BF"/>
      <w:sz w:val="40"/>
      <w:szCs w:val="40"/>
      <w:lang w:val="fr-FR"/>
    </w:rPr>
  </w:style>
  <w:style w:type="character" w:customStyle="1" w:styleId="16">
    <w:name w:val="Heading 2 Char"/>
    <w:basedOn w:val="11"/>
    <w:link w:val="3"/>
    <w:semiHidden/>
    <w:qFormat/>
    <w:uiPriority w:val="9"/>
    <w:rPr>
      <w:rFonts w:asciiTheme="majorHAnsi" w:hAnsiTheme="majorHAnsi" w:eastAsiaTheme="majorEastAsia" w:cstheme="majorBidi"/>
      <w:color w:val="2F5597" w:themeColor="accent1" w:themeShade="BF"/>
      <w:sz w:val="32"/>
      <w:szCs w:val="32"/>
      <w:lang w:val="fr-FR"/>
    </w:rPr>
  </w:style>
  <w:style w:type="character" w:customStyle="1" w:styleId="17">
    <w:name w:val="Heading 3 Char"/>
    <w:basedOn w:val="11"/>
    <w:link w:val="4"/>
    <w:semiHidden/>
    <w:qFormat/>
    <w:uiPriority w:val="9"/>
    <w:rPr>
      <w:rFonts w:eastAsiaTheme="majorEastAsia" w:cstheme="majorBidi"/>
      <w:color w:val="2F5597" w:themeColor="accent1" w:themeShade="BF"/>
      <w:sz w:val="28"/>
      <w:szCs w:val="28"/>
      <w:lang w:val="fr-FR"/>
    </w:rPr>
  </w:style>
  <w:style w:type="character" w:customStyle="1" w:styleId="18">
    <w:name w:val="Heading 4 Char"/>
    <w:basedOn w:val="11"/>
    <w:link w:val="5"/>
    <w:semiHidden/>
    <w:qFormat/>
    <w:uiPriority w:val="9"/>
    <w:rPr>
      <w:rFonts w:eastAsiaTheme="majorEastAsia" w:cstheme="majorBidi"/>
      <w:i/>
      <w:iCs/>
      <w:color w:val="2F5597" w:themeColor="accent1" w:themeShade="BF"/>
      <w:lang w:val="fr-FR"/>
    </w:rPr>
  </w:style>
  <w:style w:type="character" w:customStyle="1" w:styleId="19">
    <w:name w:val="Heading 5 Char"/>
    <w:basedOn w:val="11"/>
    <w:link w:val="6"/>
    <w:semiHidden/>
    <w:qFormat/>
    <w:uiPriority w:val="9"/>
    <w:rPr>
      <w:rFonts w:eastAsiaTheme="majorEastAsia" w:cstheme="majorBidi"/>
      <w:color w:val="2F5597" w:themeColor="accent1" w:themeShade="BF"/>
      <w:lang w:val="fr-FR"/>
    </w:rPr>
  </w:style>
  <w:style w:type="character" w:customStyle="1" w:styleId="20">
    <w:name w:val="Heading 6 Char"/>
    <w:basedOn w:val="11"/>
    <w:link w:val="7"/>
    <w:semiHidden/>
    <w:qFormat/>
    <w:uiPriority w:val="9"/>
    <w:rPr>
      <w:rFonts w:eastAsiaTheme="majorEastAsia" w:cstheme="majorBidi"/>
      <w:i/>
      <w:iCs/>
      <w:color w:val="595959" w:themeColor="text1" w:themeTint="A6"/>
      <w:lang w:val="fr-FR"/>
      <w14:textFill>
        <w14:solidFill>
          <w14:schemeClr w14:val="tx1">
            <w14:lumMod w14:val="65000"/>
            <w14:lumOff w14:val="35000"/>
          </w14:schemeClr>
        </w14:solidFill>
      </w14:textFill>
    </w:rPr>
  </w:style>
  <w:style w:type="character" w:customStyle="1" w:styleId="21">
    <w:name w:val="Heading 7 Char"/>
    <w:basedOn w:val="11"/>
    <w:link w:val="8"/>
    <w:semiHidden/>
    <w:qFormat/>
    <w:uiPriority w:val="9"/>
    <w:rPr>
      <w:rFonts w:eastAsiaTheme="majorEastAsia" w:cstheme="majorBidi"/>
      <w:color w:val="595959" w:themeColor="text1" w:themeTint="A6"/>
      <w:lang w:val="fr-FR"/>
      <w14:textFill>
        <w14:solidFill>
          <w14:schemeClr w14:val="tx1">
            <w14:lumMod w14:val="65000"/>
            <w14:lumOff w14:val="35000"/>
          </w14:schemeClr>
        </w14:solidFill>
      </w14:textFill>
    </w:rPr>
  </w:style>
  <w:style w:type="character" w:customStyle="1" w:styleId="22">
    <w:name w:val="Heading 8 Char"/>
    <w:basedOn w:val="11"/>
    <w:link w:val="9"/>
    <w:semiHidden/>
    <w:qFormat/>
    <w:uiPriority w:val="9"/>
    <w:rPr>
      <w:rFonts w:eastAsiaTheme="majorEastAsia" w:cstheme="majorBidi"/>
      <w:i/>
      <w:iCs/>
      <w:color w:val="262626" w:themeColor="text1" w:themeTint="D9"/>
      <w:lang w:val="fr-FR"/>
      <w14:textFill>
        <w14:solidFill>
          <w14:schemeClr w14:val="tx1">
            <w14:lumMod w14:val="85000"/>
            <w14:lumOff w14:val="15000"/>
          </w14:schemeClr>
        </w14:solidFill>
      </w14:textFill>
    </w:rPr>
  </w:style>
  <w:style w:type="character" w:customStyle="1" w:styleId="23">
    <w:name w:val="Heading 9 Char"/>
    <w:basedOn w:val="11"/>
    <w:link w:val="10"/>
    <w:semiHidden/>
    <w:qFormat/>
    <w:uiPriority w:val="9"/>
    <w:rPr>
      <w:rFonts w:eastAsiaTheme="majorEastAsia" w:cstheme="majorBidi"/>
      <w:color w:val="262626" w:themeColor="text1" w:themeTint="D9"/>
      <w:lang w:val="fr-FR"/>
      <w14:textFill>
        <w14:solidFill>
          <w14:schemeClr w14:val="tx1">
            <w14:lumMod w14:val="85000"/>
            <w14:lumOff w14:val="1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lang w:val="fr-FR"/>
    </w:rPr>
  </w:style>
  <w:style w:type="character" w:customStyle="1" w:styleId="25">
    <w:name w:val="Subtitle Char"/>
    <w:basedOn w:val="11"/>
    <w:link w:val="13"/>
    <w:qFormat/>
    <w:uiPriority w:val="11"/>
    <w:rPr>
      <w:rFonts w:eastAsiaTheme="majorEastAsia" w:cstheme="majorBidi"/>
      <w:color w:val="595959" w:themeColor="text1" w:themeTint="A6"/>
      <w:spacing w:val="15"/>
      <w:sz w:val="28"/>
      <w:szCs w:val="28"/>
      <w:lang w:val="fr-FR"/>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lang w:val="fr-FR"/>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qFormat/>
    <w:uiPriority w:val="30"/>
    <w:rPr>
      <w:i/>
      <w:iCs/>
      <w:color w:val="2F5597" w:themeColor="accent1" w:themeShade="BF"/>
      <w:lang w:val="fr-FR"/>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467</Words>
  <Characters>2403</Characters>
  <Lines>20</Lines>
  <Paragraphs>5</Paragraphs>
  <TotalTime>4</TotalTime>
  <ScaleCrop>false</ScaleCrop>
  <LinksUpToDate>false</LinksUpToDate>
  <CharactersWithSpaces>2856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2026-08-12T08:55:00Z</dcterms:created>
  <dc:creator>lemorneheritage@outlook.com</dc:creator>
  <cp:lastModifiedBy>Lisette Senezan</cp:lastModifiedBy>
  <dcterms:modified xsi:type="dcterms:W3CDTF">2026-10-06T07:20:22Z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eyJoZGlkIjoiMjU0OGE2ODVkYjA5ZjZmNjk0MWZjZWY0NmYyN2VlNmUiLCJ1c2VySWQiOiIyMzc3Njk0MDY1MDQ2MSJ9</vt:lpwstr>
  </property>
  <property fmtid="{D5CDD505-2E9C-101B-9397-08002B2CF9AE}" pid="3" name="KSOProductBuildVer">
    <vt:lpwstr>1033-12.1.0.28485</vt:lpwstr>
  </property>
  <property fmtid="{D5CDD505-2E9C-101B-9397-08002B2CF9AE}" pid="4" name="ICV">
    <vt:lpwstr>6E94A8404D53474AAD7DB7DEB5DA9629_13</vt:lpwstr>
  </property>
</Properties>
</file>